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9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F73B0C" w:rsidRPr="00D45645" w:rsidTr="00F73B0C">
        <w:trPr>
          <w:trHeight w:val="4104"/>
        </w:trPr>
        <w:tc>
          <w:tcPr>
            <w:tcW w:w="8330" w:type="dxa"/>
            <w:vAlign w:val="center"/>
            <w:hideMark/>
          </w:tcPr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к стандартам раскрытия информации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субъектами оптового и розничных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рынков электрической энергии</w:t>
            </w: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размере цен (тарифов), долгосрочных параметров регулирования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тарифам на оказание услуг по передаче электрической энергии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20</w:t>
            </w:r>
            <w:r w:rsidR="006C4C4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F420A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(расчетный период регулирования)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Общество с ограниченной ответственностью "Импульс" (ООО "Импульс")</w:t>
            </w:r>
          </w:p>
          <w:p w:rsidR="00F73B0C" w:rsidRPr="00F73B0C" w:rsidRDefault="00F73B0C" w:rsidP="00F7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(полное и сокращенное наименование юридического лица)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  <w:gridCol w:w="494"/>
      </w:tblGrid>
      <w:tr w:rsidR="00AD6AE1" w:rsidRPr="00D45645" w:rsidTr="00AD6AE1">
        <w:trPr>
          <w:gridAfter w:val="1"/>
          <w:wAfter w:w="494" w:type="dxa"/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Приложение № 1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  <w:tr w:rsidR="00AD6AE1" w:rsidRPr="00D45645" w:rsidTr="00AD6AE1">
        <w:trPr>
          <w:trHeight w:val="503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P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Информация об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Pr="00D45645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ООО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6C4C46" w:rsidP="00BF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640003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, г. Курган, ул. 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640000, г. Курган, ул. </w:t>
            </w:r>
            <w:r w:rsidR="00BA124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Советская,31,20 ОПС, а/я 2473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4501160436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450101001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  <w:r w:rsidR="00FE3E6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(Гл. инженер)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по доверенности от 27.02.2020 №01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Тяжкун Сергей Владимирович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I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mpuls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vl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k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@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mail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.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FE3E6C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8(912)832-98-49</w:t>
            </w: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</w:tblGrid>
      <w:tr w:rsidR="004C0582" w:rsidRPr="00D45645" w:rsidTr="004C0582">
        <w:trPr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показатели деятельности организаций, относящихся к субъектам естественных монополий,</w:t>
      </w:r>
      <w:r w:rsidR="007D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коммерческого оператора оптового рынка электрической энергии (мощности)</w:t>
      </w: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41"/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3"/>
        <w:gridCol w:w="1153"/>
        <w:gridCol w:w="1518"/>
        <w:gridCol w:w="1701"/>
        <w:gridCol w:w="2443"/>
      </w:tblGrid>
      <w:tr w:rsidR="007D3A05" w:rsidRPr="00D45645" w:rsidTr="00FD5A0B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измерения Единица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Фактические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показатели за </w:t>
            </w:r>
            <w:r w:rsidR="00DC3CA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год,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предшествующий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базовому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утвержденные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базовый период</w:t>
            </w:r>
            <w:r w:rsidR="00DC3CA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Default="007D3A05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20</w:t>
            </w:r>
            <w:r w:rsidR="006C4C4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C3CA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 деятельности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Выручка 1)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4081,73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3CA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4453,20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420A1" w:rsidP="00CF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3680,40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Прибыль (убыток) от продаж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115,20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104,85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420A1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EBITDA (прибыль до процентов, налогов и амортизации)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115,20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104,85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420A1" w:rsidP="00F4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101,10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420A1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рентабельности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 каждом рубле выручки).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Нормальное значение для данной отрасли от 9 процентов и более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регулируемых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видов деятельности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Расчетный объем услуг в части управления технологическими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режимами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Расчетный объем услуг в части обеспечения надежности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Заявленная мощность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6,240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420A1" w:rsidP="00F04E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5,760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Объем полезного отпуска электроэнергии - всего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полезного отпуска электроэнергии населению 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приравненным к нему категориям потребителей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4BE0">
        <w:trPr>
          <w:trHeight w:val="8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Норматив потерь электрической энергии (с указанием реквизитов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приказа Минэнерго России, которым утверждены нормативы)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0,22%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4BE0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0,22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%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Приказ Минэнерго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 xml:space="preserve">России № </w:t>
            </w:r>
            <w:r w:rsidR="00F04EB6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550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</w:r>
            <w:r w:rsidR="00FD1779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 xml:space="preserve">  </w:t>
            </w:r>
            <w:r w:rsidR="00F04EB6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13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</w:t>
            </w:r>
            <w:r w:rsidR="00F04EB6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7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.20</w:t>
            </w:r>
            <w:r w:rsidR="00F04EB6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DC3CAB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0,22%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Суммарный объем производства и потребления электрической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энергии участниками оптового рынка электрической энергии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деятельности организации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4081,73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4453,20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420A1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3680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связанные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 производством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 реализацией ; 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3957,13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4283,32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420A1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3548,55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1022,56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11430,89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420A1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1272,03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ремонт основных фондов 3)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 w:hint="eastAsia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2701,66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3041,80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420A1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1320,68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за исключением указанных в подпункте 4.1;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Выпадающие,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излишние доходы (расходы) прошлых лет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инвестиционной программы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условных единиц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 (у.е.)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оплаты труда по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регулируемым видам деятельности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на одного работника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 на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человека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68,746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74,834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3401DE" w:rsidP="00F04E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88,744</w:t>
            </w:r>
          </w:p>
        </w:tc>
      </w:tr>
      <w:tr w:rsidR="007D3A05" w:rsidRPr="00D45645" w:rsidTr="00FD5A0B">
        <w:trPr>
          <w:trHeight w:val="16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срок действия) 4)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2D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Соглашение о порядке,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условиях и продлении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срока действия ОТС в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электроэнергетике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 на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401D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22-2024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401D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Уставный капитал (складочный капитал, уставный фонд, вклады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товарищей)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D3A05"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F551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2D23B8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(недостатка) собственных оборотных средств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E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 Выручка по ставке тарифа на услуги по передаче электрической энергии на содержание объектов электросетевого хозяйства, входящих в единую национальную (общероссийскую)электрическую сеть.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2) В соответствии с Правилами недискриминационного доступа к услугам по передаче электрической энергии и оказания этих услуг, утверждённых Постановлением Правительства № 861,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объём услуг по передаче электрической энергии, оплачиваемых потребителями по ставке, используемой для целей определения расходов на оплату нормативных потерь электрической энергии,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определяется исходя из объёма нормативных технологических потерь.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377451">
              <w:rPr>
                <w:rFonts w:ascii="TimesNewRomanPSMT" w:eastAsia="Times New Roman" w:hAnsi="TimesNewRomanPSMT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 на ремонт, выполняемые хозяйственным способом, учтены в составе статей необходимой валовой выручки.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4) Планируется вступление в Объединение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РаЭл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 случае установления тарифов.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85" w:rsidRDefault="00157E8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DB2E49" w:rsidP="00DB2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lastRenderedPageBreak/>
        <w:t>Приложение № 5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к предложению о размере цен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(тарифов), долгосрочных параметров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регулирования</w:t>
      </w:r>
    </w:p>
    <w:p w:rsidR="001F25D5" w:rsidRPr="00D45645" w:rsidRDefault="001F25D5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Раздел 3. Цены (тарифы) по регулируемым видам деятельности организации</w:t>
      </w:r>
    </w:p>
    <w:p w:rsidR="00377451" w:rsidRDefault="00377451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1"/>
        <w:gridCol w:w="2297"/>
        <w:gridCol w:w="1128"/>
        <w:gridCol w:w="1185"/>
        <w:gridCol w:w="1029"/>
        <w:gridCol w:w="880"/>
        <w:gridCol w:w="952"/>
        <w:gridCol w:w="789"/>
        <w:gridCol w:w="664"/>
      </w:tblGrid>
      <w:tr w:rsidR="00AC28E7" w:rsidRPr="00D45645" w:rsidTr="00AC28E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№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п/п 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Наименование показателей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Единица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Фактические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показатели за год,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предшествующий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базовому периоду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Показатели,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утвержденные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базовый период</w:t>
            </w:r>
          </w:p>
        </w:tc>
        <w:tc>
          <w:tcPr>
            <w:tcW w:w="1453" w:type="dxa"/>
            <w:gridSpan w:val="2"/>
            <w:vAlign w:val="center"/>
            <w:hideMark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8E7" w:rsidRDefault="009F551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Предложения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 2024</w:t>
            </w:r>
            <w:bookmarkStart w:id="0" w:name="_GoBack"/>
            <w:bookmarkEnd w:id="0"/>
            <w:r w:rsidR="00AC28E7"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8E7" w:rsidRPr="00D45645" w:rsidTr="00AC28E7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952" w:type="dxa"/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789" w:type="dxa"/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664" w:type="dxa"/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Для организаций, относящихся к субъектам естественных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монополий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. тариф на услуги по оперативно-диспетчерскому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управлению в электроэнергетике в части управления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технологическими режимами работы объектов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электроэнергетики и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устройств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электрической энергии, обеспечения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функционирования технологической инфраструктуры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оптового и розничных рынков, оказываемые открытым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акционерным обществом "Системный оператор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предельный максимальный уровень цен (тарифов)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 в части организации отбора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исполнителей и оплаты услуг по обеспечению системной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надежности, услуг по обеспечению вывода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 России из аварийных ситуаций,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 по формированию технологического резерва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мощностей, оказываемых открытым акционерным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обществом "Системный оператор Единой энергетической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содержание сетей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 в мес.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9F551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57652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9F551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57652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9F551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59518,88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9F551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59518,88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BA1247" w:rsidRDefault="00F420A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F420A1" w:rsidP="00FD177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53247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х1)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коммерческого оператора оптового рынка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гарантирующих поставщиков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"население" и приравненных к нему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категорий потребителей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"сетевые организации, покупающие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электрическую энергию для компенсации потерь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электрической энергии"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доходность продаж для прочих потребителей: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менее 150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от 150 кВт до 670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от 670 кВт до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не менее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генерирующих объектов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электрическую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в том числе топливная составляющая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генерирующую мощность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горячее водоснабжение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отборный пар давлением: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1,2 - 2,5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2,5 - 7,0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7,0 - 13,0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&gt; 13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острый и редуцированный пар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ставка на содержание тепловой мощности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руб./Гкал/ч в месяц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4.5.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тариф на теплоноситель, в том числе: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D45645" w:rsidTr="00AC28E7">
        <w:trPr>
          <w:gridAfter w:val="8"/>
          <w:wAfter w:w="8924" w:type="dxa"/>
          <w:trHeight w:val="13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E7" w:rsidRPr="00D45645" w:rsidRDefault="00AC28E7" w:rsidP="00D4564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522476" w:rsidRDefault="00522476"/>
    <w:p w:rsidR="00AC28E7" w:rsidRPr="00AC28E7" w:rsidRDefault="00AC28E7" w:rsidP="00AC28E7">
      <w:pPr>
        <w:pStyle w:val="a3"/>
        <w:numPr>
          <w:ilvl w:val="0"/>
          <w:numId w:val="1"/>
        </w:numPr>
        <w:rPr>
          <w:sz w:val="16"/>
          <w:szCs w:val="16"/>
        </w:rPr>
      </w:pPr>
      <w:r w:rsidRPr="00AC28E7">
        <w:rPr>
          <w:sz w:val="16"/>
          <w:szCs w:val="16"/>
        </w:rPr>
        <w:t>Ставка тарифа на услуги по передаче электрической энергии, используемая для целей определения расходов на оплату нормативных потерь электрической энергии при ее передаче по электрическим сетям ЕНЭС определена в виде формулы Постановления Правительства РФ от 29.12.2011 №1178.</w:t>
      </w:r>
    </w:p>
    <w:sectPr w:rsidR="00AC28E7" w:rsidRPr="00AC28E7" w:rsidSect="007D3A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774"/>
    <w:multiLevelType w:val="hybridMultilevel"/>
    <w:tmpl w:val="892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E8"/>
    <w:rsid w:val="00044642"/>
    <w:rsid w:val="00157E85"/>
    <w:rsid w:val="001F25D5"/>
    <w:rsid w:val="00212F0C"/>
    <w:rsid w:val="002B126D"/>
    <w:rsid w:val="002D23B8"/>
    <w:rsid w:val="003401DE"/>
    <w:rsid w:val="00377451"/>
    <w:rsid w:val="00490E34"/>
    <w:rsid w:val="004C0582"/>
    <w:rsid w:val="00522476"/>
    <w:rsid w:val="006C4C46"/>
    <w:rsid w:val="00784EE8"/>
    <w:rsid w:val="007D3A05"/>
    <w:rsid w:val="009D26F9"/>
    <w:rsid w:val="009F5517"/>
    <w:rsid w:val="00A25348"/>
    <w:rsid w:val="00AC28E7"/>
    <w:rsid w:val="00AD6AE1"/>
    <w:rsid w:val="00BA1247"/>
    <w:rsid w:val="00BF1178"/>
    <w:rsid w:val="00CB7DCE"/>
    <w:rsid w:val="00CF5130"/>
    <w:rsid w:val="00D37624"/>
    <w:rsid w:val="00D45645"/>
    <w:rsid w:val="00DB2E49"/>
    <w:rsid w:val="00DC3CAB"/>
    <w:rsid w:val="00E957C1"/>
    <w:rsid w:val="00F04EB6"/>
    <w:rsid w:val="00F420A1"/>
    <w:rsid w:val="00F4539E"/>
    <w:rsid w:val="00F55054"/>
    <w:rsid w:val="00F62E3F"/>
    <w:rsid w:val="00F73B0C"/>
    <w:rsid w:val="00FD1779"/>
    <w:rsid w:val="00FD4BE0"/>
    <w:rsid w:val="00FD5A0B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65E6"/>
  <w15:docId w15:val="{B8A527A1-DC44-4519-868D-39C46D3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D456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6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2"/>
      <w:szCs w:val="12"/>
      <w:lang w:eastAsia="ru-RU"/>
    </w:rPr>
  </w:style>
  <w:style w:type="paragraph" w:customStyle="1" w:styleId="fontstyle1">
    <w:name w:val="fontstyle1"/>
    <w:basedOn w:val="a"/>
    <w:rsid w:val="00D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6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D4564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FF"/>
      <w:sz w:val="18"/>
      <w:szCs w:val="18"/>
      <w:lang w:eastAsia="ru-RU"/>
    </w:rPr>
  </w:style>
  <w:style w:type="paragraph" w:customStyle="1" w:styleId="fontstyle4">
    <w:name w:val="fontstyle4"/>
    <w:basedOn w:val="a"/>
    <w:rsid w:val="00D456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4"/>
      <w:szCs w:val="14"/>
      <w:lang w:eastAsia="ru-RU"/>
    </w:rPr>
  </w:style>
  <w:style w:type="character" w:customStyle="1" w:styleId="fontstyle01">
    <w:name w:val="fontstyle01"/>
    <w:basedOn w:val="a0"/>
    <w:rsid w:val="00D45645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4564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5645"/>
    <w:rPr>
      <w:rFonts w:ascii="ArialMT" w:hAnsi="ArialMT" w:hint="default"/>
      <w:b w:val="0"/>
      <w:bCs w:val="0"/>
      <w:i w:val="0"/>
      <w:iCs w:val="0"/>
      <w:color w:val="0000FF"/>
      <w:sz w:val="18"/>
      <w:szCs w:val="18"/>
    </w:rPr>
  </w:style>
  <w:style w:type="character" w:customStyle="1" w:styleId="fontstyle41">
    <w:name w:val="fontstyle41"/>
    <w:basedOn w:val="a0"/>
    <w:rsid w:val="00D45645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C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Тяжкун</cp:lastModifiedBy>
  <cp:revision>3</cp:revision>
  <dcterms:created xsi:type="dcterms:W3CDTF">2023-05-10T10:20:00Z</dcterms:created>
  <dcterms:modified xsi:type="dcterms:W3CDTF">2023-05-10T12:30:00Z</dcterms:modified>
</cp:coreProperties>
</file>